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0" w:rsidRPr="00553950" w:rsidRDefault="00553950" w:rsidP="005539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3950">
        <w:rPr>
          <w:rFonts w:ascii="Times New Roman" w:hAnsi="Times New Roman"/>
          <w:b/>
          <w:sz w:val="28"/>
          <w:szCs w:val="28"/>
        </w:rPr>
        <w:t>Рекомендации по участию в номинации «Люди отрасли»</w:t>
      </w:r>
    </w:p>
    <w:p w:rsidR="00553950" w:rsidRDefault="00553950" w:rsidP="005539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950" w:rsidRDefault="00553950" w:rsidP="00553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«Люди отрасли» рассматриваются кандидатуры, внесшие значимый вклад в создание принципиально новых (прорывных) технологических и организационных разработок</w:t>
      </w:r>
      <w:r>
        <w:rPr>
          <w:rFonts w:ascii="Times New Roman" w:hAnsi="Times New Roman" w:cs="Times New Roman"/>
          <w:sz w:val="28"/>
          <w:szCs w:val="28"/>
        </w:rPr>
        <w:t>, которые принесли значительную пользу в области охраны окружающей среды, энергосбережения, социальной и промышленной безопасности, логистики,  технологии производства, повышения качества  продукции. Масштаб разработок может соответствовать  как уровню предприятия, так и региональному, федеральному или международному уровням. Выдвижение кандидатур могут осуществлять предприятия или  региональные, федеральные и международные сообщества.</w:t>
      </w:r>
    </w:p>
    <w:p w:rsidR="00553950" w:rsidRDefault="00553950" w:rsidP="00553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выдвинутых кандидатур осуществляется экспертной группой, сформированной  Техническим комитетом Конкурса.</w:t>
      </w:r>
    </w:p>
    <w:p w:rsidR="00A01A7D" w:rsidRDefault="00A01A7D"/>
    <w:sectPr w:rsidR="00A01A7D" w:rsidSect="00A0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53950"/>
    <w:rsid w:val="00553950"/>
    <w:rsid w:val="00933EE7"/>
    <w:rsid w:val="00A01A7D"/>
    <w:rsid w:val="00A44A86"/>
    <w:rsid w:val="00A8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2022-04-01T05:32:00Z</dcterms:created>
  <dcterms:modified xsi:type="dcterms:W3CDTF">2022-04-01T05:32:00Z</dcterms:modified>
</cp:coreProperties>
</file>